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10B0" w14:textId="258DB7C9" w:rsidR="0080026F" w:rsidRPr="00F03315" w:rsidRDefault="0080026F" w:rsidP="003B6FB4">
      <w:pPr>
        <w:jc w:val="both"/>
        <w:rPr>
          <w:sz w:val="28"/>
          <w:szCs w:val="28"/>
        </w:rPr>
      </w:pPr>
      <w:r w:rsidRPr="00F03315">
        <w:rPr>
          <w:sz w:val="28"/>
          <w:szCs w:val="28"/>
        </w:rPr>
        <w:t>Trestní právo 2</w:t>
      </w:r>
    </w:p>
    <w:p w14:paraId="64DECDDE" w14:textId="7110D717" w:rsidR="0080026F" w:rsidRPr="003B6FB4" w:rsidRDefault="0080026F" w:rsidP="003B6FB4">
      <w:pPr>
        <w:jc w:val="both"/>
        <w:rPr>
          <w:b/>
          <w:bCs/>
        </w:rPr>
      </w:pPr>
      <w:r w:rsidRPr="003B6FB4">
        <w:rPr>
          <w:b/>
          <w:bCs/>
        </w:rPr>
        <w:t>Objektivní stránka trestného činu – dokončení</w:t>
      </w:r>
    </w:p>
    <w:p w14:paraId="6D386752" w14:textId="6322DEAC" w:rsidR="0080026F" w:rsidRDefault="0080026F" w:rsidP="003B6FB4">
      <w:pPr>
        <w:jc w:val="both"/>
      </w:pPr>
      <w:r>
        <w:t>Fakultativní znaky objektivní stránky trestného činu – nemusí být ve skutkových podstatách všech trestních činů. Pokud se vyskytuje ve skutkové podstatě některý znak, stává se obligatorním – tedy povinným znakem skutkové podstaty a bez naplnění tohoto znaku by se nejednalo o trestný čin.</w:t>
      </w:r>
    </w:p>
    <w:p w14:paraId="671A3DA4" w14:textId="39C8142F" w:rsidR="0080026F" w:rsidRDefault="0080026F" w:rsidP="003B6FB4">
      <w:pPr>
        <w:jc w:val="both"/>
      </w:pPr>
      <w:r>
        <w:t>Fakultativní znaky zejména jsou:</w:t>
      </w:r>
    </w:p>
    <w:p w14:paraId="6C69DDC3" w14:textId="57C3A5F3" w:rsidR="0080026F" w:rsidRDefault="0080026F" w:rsidP="003B6FB4">
      <w:pPr>
        <w:pStyle w:val="Odstavecseseznamem"/>
        <w:numPr>
          <w:ilvl w:val="0"/>
          <w:numId w:val="2"/>
        </w:numPr>
        <w:jc w:val="both"/>
      </w:pPr>
      <w:r>
        <w:t>hmotný předmět útoku – např. dítě, cizí věc, motorové vozidlo atd.</w:t>
      </w:r>
    </w:p>
    <w:p w14:paraId="07C24AED" w14:textId="59572435" w:rsidR="0080026F" w:rsidRDefault="0080026F" w:rsidP="003B6FB4">
      <w:pPr>
        <w:pStyle w:val="Odstavecseseznamem"/>
        <w:numPr>
          <w:ilvl w:val="0"/>
          <w:numId w:val="2"/>
        </w:numPr>
        <w:jc w:val="both"/>
      </w:pPr>
      <w:r>
        <w:t>doba spáchání činu – např. ve válečném stavu, po porodu, ve strážní službě, při veřejní dražbě aj.</w:t>
      </w:r>
    </w:p>
    <w:p w14:paraId="7F14E802" w14:textId="01C6C6E7" w:rsidR="0080026F" w:rsidRDefault="0024782A" w:rsidP="003B6FB4">
      <w:pPr>
        <w:pStyle w:val="Odstavecseseznamem"/>
        <w:numPr>
          <w:ilvl w:val="0"/>
          <w:numId w:val="2"/>
        </w:numPr>
        <w:jc w:val="both"/>
      </w:pPr>
      <w:r>
        <w:t xml:space="preserve">místo trestného činu – např. území republiky, obvod, na který se vztahuje zákaz pobytu, v cizině </w:t>
      </w:r>
    </w:p>
    <w:p w14:paraId="41C94F21" w14:textId="6F7987F0" w:rsidR="0024782A" w:rsidRDefault="0024782A" w:rsidP="003B6FB4">
      <w:pPr>
        <w:pStyle w:val="Odstavecseseznamem"/>
        <w:numPr>
          <w:ilvl w:val="0"/>
          <w:numId w:val="2"/>
        </w:numPr>
        <w:jc w:val="both"/>
      </w:pPr>
      <w:r>
        <w:t xml:space="preserve">prostředek trestného činu-např. vydírání se zbraní, pomluva, spáchaná veřejnými sdělovacími </w:t>
      </w:r>
    </w:p>
    <w:p w14:paraId="2460F55B" w14:textId="3F3F70E4" w:rsidR="0024782A" w:rsidRDefault="0024782A" w:rsidP="003B6FB4">
      <w:pPr>
        <w:pStyle w:val="Odstavecseseznamem"/>
        <w:ind w:left="405"/>
        <w:jc w:val="both"/>
      </w:pPr>
      <w:r>
        <w:t xml:space="preserve">                                                 prostředky, veřejnou počítačovou sítí aj.</w:t>
      </w:r>
    </w:p>
    <w:p w14:paraId="6BA5C485" w14:textId="1487300C" w:rsidR="0024782A" w:rsidRDefault="0024782A" w:rsidP="003B6FB4">
      <w:pPr>
        <w:pStyle w:val="Odstavecseseznamem"/>
        <w:numPr>
          <w:ilvl w:val="0"/>
          <w:numId w:val="2"/>
        </w:numPr>
        <w:jc w:val="both"/>
      </w:pPr>
      <w:r>
        <w:t>zvláštní způsob spáchání – např. týrání spáchané zvlášť surovým způsobem, podávání alkoholu</w:t>
      </w:r>
    </w:p>
    <w:p w14:paraId="55C834EB" w14:textId="77777777" w:rsidR="0024782A" w:rsidRDefault="0024782A" w:rsidP="003B6FB4">
      <w:pPr>
        <w:pStyle w:val="Odstavecseseznamem"/>
        <w:numPr>
          <w:ilvl w:val="0"/>
          <w:numId w:val="2"/>
        </w:numPr>
        <w:jc w:val="both"/>
      </w:pPr>
      <w:r>
        <w:t xml:space="preserve">                                                   dítěti aj.     </w:t>
      </w:r>
    </w:p>
    <w:p w14:paraId="108B7F05" w14:textId="77777777" w:rsidR="0024782A" w:rsidRDefault="0024782A" w:rsidP="003B6FB4">
      <w:pPr>
        <w:jc w:val="both"/>
      </w:pPr>
    </w:p>
    <w:p w14:paraId="2B1F985B" w14:textId="77777777" w:rsidR="0024782A" w:rsidRDefault="0024782A" w:rsidP="003B6FB4">
      <w:pPr>
        <w:jc w:val="both"/>
      </w:pPr>
    </w:p>
    <w:p w14:paraId="4407650E" w14:textId="1DB3E7A8" w:rsidR="0080026F" w:rsidRPr="003B6FB4" w:rsidRDefault="0024782A" w:rsidP="003B6FB4">
      <w:pPr>
        <w:jc w:val="both"/>
        <w:rPr>
          <w:b/>
          <w:bCs/>
        </w:rPr>
      </w:pPr>
      <w:r w:rsidRPr="003B6FB4">
        <w:rPr>
          <w:b/>
          <w:bCs/>
        </w:rPr>
        <w:t xml:space="preserve">Pachatel trestného činu (subjekt)  </w:t>
      </w:r>
    </w:p>
    <w:p w14:paraId="041F6A4B" w14:textId="6655A431" w:rsidR="00403F75" w:rsidRDefault="0024782A" w:rsidP="003B6FB4">
      <w:pPr>
        <w:jc w:val="both"/>
      </w:pPr>
      <w:r>
        <w:t>Obligatorním znakem skutkové podstaty je pachatel trestného činu. Trestně odpovědnou osobou může být osoba fyzická, která bezprostředně spáchala trestný čin, nebo osoba právnická</w:t>
      </w:r>
      <w:r w:rsidR="00403F75">
        <w:t xml:space="preserve">. </w:t>
      </w:r>
      <w:r w:rsidR="00CD350B">
        <w:t>(Trestní odpovědnosti právnických osob bude pojednána v dalším díle – trestní právo 3). T</w:t>
      </w:r>
      <w:r w:rsidR="00403F75">
        <w:t>restní zákoník definuje pojem pachatele trestného činu v § 22 odst. 1 takto: Pachatelem je ten, kdo svým jednáním naplnil znaky skutkové podstaty trestného činu nebo jeho pokusu či přípravy, je-li trestná</w:t>
      </w:r>
    </w:p>
    <w:p w14:paraId="3F6A87C9" w14:textId="35141C6A" w:rsidR="00403F75" w:rsidRDefault="00403F75" w:rsidP="003B6FB4">
      <w:pPr>
        <w:jc w:val="both"/>
      </w:pPr>
      <w:r>
        <w:t>Podle českého trestního zákoníku může být pachatelem fyzická osoba – pouze:</w:t>
      </w:r>
    </w:p>
    <w:p w14:paraId="5F92EC3E" w14:textId="44CAD188" w:rsidR="00403F75" w:rsidRDefault="00403F75" w:rsidP="003B6FB4">
      <w:pPr>
        <w:pStyle w:val="Odstavecseseznamem"/>
        <w:numPr>
          <w:ilvl w:val="0"/>
          <w:numId w:val="3"/>
        </w:numPr>
        <w:jc w:val="both"/>
      </w:pPr>
      <w:r>
        <w:t>Osoba fyzická, která je v době činu</w:t>
      </w:r>
    </w:p>
    <w:p w14:paraId="3DC31D6A" w14:textId="77A8959A" w:rsidR="00403F75" w:rsidRDefault="00403F75" w:rsidP="003B6FB4">
      <w:pPr>
        <w:pStyle w:val="Odstavecseseznamem"/>
        <w:numPr>
          <w:ilvl w:val="0"/>
          <w:numId w:val="3"/>
        </w:numPr>
        <w:jc w:val="both"/>
      </w:pPr>
      <w:r>
        <w:t xml:space="preserve"> Příčetná</w:t>
      </w:r>
    </w:p>
    <w:p w14:paraId="15D11A0B" w14:textId="33D51537" w:rsidR="00403F75" w:rsidRDefault="00403F75" w:rsidP="003B6FB4">
      <w:pPr>
        <w:pStyle w:val="Odstavecseseznamem"/>
        <w:numPr>
          <w:ilvl w:val="0"/>
          <w:numId w:val="3"/>
        </w:numPr>
        <w:jc w:val="both"/>
      </w:pPr>
      <w:r>
        <w:t>Dovršila 15 rok věku</w:t>
      </w:r>
    </w:p>
    <w:p w14:paraId="109BAB69" w14:textId="0FF4031D" w:rsidR="00403F75" w:rsidRDefault="00403F75" w:rsidP="003B6FB4">
      <w:pPr>
        <w:pStyle w:val="Odstavecseseznamem"/>
        <w:numPr>
          <w:ilvl w:val="0"/>
          <w:numId w:val="3"/>
        </w:numPr>
        <w:jc w:val="both"/>
      </w:pPr>
      <w:r>
        <w:t>Je rozumově a mravně vyspělá, jde-li o mladistvého pachatele provinění</w:t>
      </w:r>
    </w:p>
    <w:p w14:paraId="1F2821F7" w14:textId="3C64C3CE" w:rsidR="00403F75" w:rsidRDefault="00403F75" w:rsidP="003B6FB4">
      <w:pPr>
        <w:pStyle w:val="Odstavecseseznamem"/>
        <w:numPr>
          <w:ilvl w:val="0"/>
          <w:numId w:val="3"/>
        </w:numPr>
        <w:jc w:val="both"/>
      </w:pPr>
      <w:r>
        <w:t>Podle okolností jde o osobu charakterizovanou zvláštními znaky</w:t>
      </w:r>
    </w:p>
    <w:p w14:paraId="00B89393" w14:textId="3C47983A" w:rsidR="00403F75" w:rsidRDefault="00403F75" w:rsidP="003B6FB4">
      <w:pPr>
        <w:ind w:left="360"/>
        <w:jc w:val="both"/>
      </w:pPr>
      <w:r>
        <w:t>Podmínky a) až c) musí být splněny současně.</w:t>
      </w:r>
      <w:r w:rsidR="00CD350B">
        <w:t xml:space="preserve"> Zbylé dvě podmínky podle konkrétního případu.</w:t>
      </w:r>
    </w:p>
    <w:p w14:paraId="21A7B32D" w14:textId="6ACCD0F2" w:rsidR="00CD350B" w:rsidRDefault="00CD350B" w:rsidP="003B6FB4">
      <w:pPr>
        <w:ind w:left="360"/>
        <w:jc w:val="both"/>
      </w:pPr>
      <w:r>
        <w:t>Jednou ze základních zásad trestního práva je individuální odpovědnost fyzických osob za spáchaný trestný čin.</w:t>
      </w:r>
    </w:p>
    <w:p w14:paraId="6EFD6359" w14:textId="56BAB72C" w:rsidR="00CD350B" w:rsidRDefault="00CD350B" w:rsidP="003B6FB4">
      <w:pPr>
        <w:ind w:left="360"/>
        <w:jc w:val="both"/>
      </w:pPr>
      <w:r>
        <w:t xml:space="preserve">Věk a příčetnost jsou znakem trestního činu, ale nepatří ke znakům skutkové podstaty trestného činu. Mladistvý, který v době spáchání trestného činu nedosáhl takové rozumové a </w:t>
      </w:r>
      <w:proofErr w:type="gramStart"/>
      <w:r>
        <w:t>mravní  vyspělosti</w:t>
      </w:r>
      <w:proofErr w:type="gramEnd"/>
      <w:r>
        <w:t>, aby mohl rozpoznat, jeho protiprávnost nebo ovládat své jednání, není za tento čin trestně odpovědný. U mladistvého se primárně zjišťuje, zda v době spáchání trestného činu dosáhl rozumové a mravní vyspělosti.</w:t>
      </w:r>
    </w:p>
    <w:p w14:paraId="36F5586B" w14:textId="42E08926" w:rsidR="0080026F" w:rsidRDefault="00CD350B" w:rsidP="003B6FB4">
      <w:pPr>
        <w:ind w:left="360"/>
        <w:jc w:val="both"/>
      </w:pPr>
      <w:r>
        <w:t>Většinu trestních činů může spáchat jako pachatel kdokoliv.</w:t>
      </w:r>
      <w:r w:rsidR="003B6FB4">
        <w:t xml:space="preserve"> Některé trestné činy mají výjimku a vyžadují zvláštní vlastnosti pachatele. (např. veřejný činitel).</w:t>
      </w:r>
    </w:p>
    <w:p w14:paraId="3AFA3EF6" w14:textId="77777777" w:rsidR="003B6FB4" w:rsidRDefault="003B6FB4" w:rsidP="003B6FB4">
      <w:pPr>
        <w:ind w:left="360"/>
        <w:jc w:val="both"/>
      </w:pPr>
    </w:p>
    <w:p w14:paraId="45E1CCDA" w14:textId="77777777" w:rsidR="003B6FB4" w:rsidRDefault="003B6FB4"/>
    <w:p w14:paraId="2B2333F3" w14:textId="2EC68C46" w:rsidR="0080026F" w:rsidRDefault="007A13D2" w:rsidP="007A13D2">
      <w:pPr>
        <w:jc w:val="both"/>
      </w:pPr>
      <w:r>
        <w:lastRenderedPageBreak/>
        <w:t xml:space="preserve">České trestní právo do </w:t>
      </w:r>
      <w:r w:rsidR="003B6FB4">
        <w:t xml:space="preserve">31.12.2011. </w:t>
      </w:r>
      <w:r>
        <w:t>s</w:t>
      </w:r>
      <w:r w:rsidR="003B6FB4">
        <w:t>počívalo na zásadě individuální odpovědnosti. Po zavedení trestní odpovědnosti právnických osob se dosavadní zásada individuální trestné odpovědnosti fyzických osob změnila na zásadu souběžné, nezávislé trestné odpovědnosti fyzických a právnických osob. Za jednání za jiného je stále odpovědna individuální fyzická osoba.</w:t>
      </w:r>
    </w:p>
    <w:p w14:paraId="4DCD6474" w14:textId="4D4D8050" w:rsidR="003B6FB4" w:rsidRPr="007A13D2" w:rsidRDefault="003B6FB4" w:rsidP="007A13D2">
      <w:pPr>
        <w:jc w:val="both"/>
        <w:rPr>
          <w:b/>
          <w:bCs/>
        </w:rPr>
      </w:pPr>
      <w:r w:rsidRPr="007A13D2">
        <w:rPr>
          <w:b/>
          <w:bCs/>
        </w:rPr>
        <w:t>Příčetnost</w:t>
      </w:r>
    </w:p>
    <w:p w14:paraId="3140661D" w14:textId="7AAC2F66" w:rsidR="003B6FB4" w:rsidRDefault="003B6FB4" w:rsidP="007A13D2">
      <w:pPr>
        <w:jc w:val="both"/>
      </w:pPr>
      <w:r>
        <w:t>Příčetností rozumíme způsobilost být pachatelem trestného činu</w:t>
      </w:r>
      <w:r w:rsidR="00F80825">
        <w:t>, pokud závisí na duševních schopnostech pachatele. Trestní zákoník nedefinuje příčetnost, ale uvádí důvody, které příčetnost vylučují Podle § 26 není odpovědný ten, kdo pro duševní poruchu nemohl rozpoznat v době činu jeho protiprávnost, nebo ovládat své jednání.</w:t>
      </w:r>
    </w:p>
    <w:p w14:paraId="70B7F9E6" w14:textId="3AA355F7" w:rsidR="00F80825" w:rsidRPr="007A13D2" w:rsidRDefault="00F80825" w:rsidP="007A13D2">
      <w:pPr>
        <w:jc w:val="both"/>
        <w:rPr>
          <w:b/>
          <w:bCs/>
        </w:rPr>
      </w:pPr>
      <w:r w:rsidRPr="007A13D2">
        <w:rPr>
          <w:b/>
          <w:bCs/>
        </w:rPr>
        <w:t>Pachatel jednal v nepříčetnosti jestliže:</w:t>
      </w:r>
    </w:p>
    <w:p w14:paraId="2725AC97" w14:textId="4D23D27D" w:rsidR="00F80825" w:rsidRDefault="00F80825" w:rsidP="007A13D2">
      <w:pPr>
        <w:jc w:val="both"/>
      </w:pPr>
      <w:r>
        <w:t>-trpí duševní poruchou</w:t>
      </w:r>
    </w:p>
    <w:p w14:paraId="31F09E0A" w14:textId="77777777" w:rsidR="00F80825" w:rsidRDefault="00F80825" w:rsidP="007A13D2">
      <w:pPr>
        <w:jc w:val="both"/>
      </w:pPr>
      <w:r>
        <w:t xml:space="preserve">- je zbaven schopnosti rozpoznat </w:t>
      </w:r>
    </w:p>
    <w:p w14:paraId="724EE205" w14:textId="3EEF2B5B" w:rsidR="00F80825" w:rsidRDefault="00F80825" w:rsidP="007A13D2">
      <w:pPr>
        <w:jc w:val="both"/>
      </w:pPr>
      <w:r>
        <w:t>-protiprávnost činu, nebo ovládat své jednání (postačí, pokud chybí alespoň jedna z uvedených schopností)</w:t>
      </w:r>
    </w:p>
    <w:p w14:paraId="60AAE4B6" w14:textId="785F1141" w:rsidR="00F80825" w:rsidRDefault="00F80825" w:rsidP="007A13D2">
      <w:pPr>
        <w:jc w:val="both"/>
      </w:pPr>
      <w:r>
        <w:t>- ztráta rozpoznávací nebo ovládací schopnosti je důsledkem duševní choroby</w:t>
      </w:r>
    </w:p>
    <w:p w14:paraId="7225EA97" w14:textId="24608477" w:rsidR="00F80825" w:rsidRDefault="00F80825" w:rsidP="007A13D2">
      <w:pPr>
        <w:jc w:val="both"/>
      </w:pPr>
      <w:r>
        <w:t>- duševní choroba a ztráta rozpoznávací nebo ovládací jsou dány v době činu</w:t>
      </w:r>
    </w:p>
    <w:p w14:paraId="086782AE" w14:textId="3E8955B4" w:rsidR="00F80825" w:rsidRDefault="00F80825" w:rsidP="007A13D2">
      <w:pPr>
        <w:jc w:val="both"/>
      </w:pPr>
      <w:r>
        <w:t>Shora uvedené podmínky nepříčetnosti musí být dány současně Kritérii pro nepříčetnost jsou dána biologicky – lékařsky a psychologicky (juristicky)</w:t>
      </w:r>
      <w:r w:rsidR="00C54FB6">
        <w:t>. Definici duševní poruchy uvádí trestní zákoník v § 123. samotná duševní choroba nezbavuje pachatele odpovědnosti.  O vyloučení příčetnosti hovoříme jen v případě, že duševní choroba zbavuje osobu buď schopnosti rozpoznávací, nebo ovládací, případně obou schopností. Trestní řád také pamatuje na případ, kdy po spáchání trestného činu, pro duševní poruchu není obviněný schopný chápat smysl trestního stíhání. Taková okolnost je důvodem k přerušení trestního stíhání.</w:t>
      </w:r>
    </w:p>
    <w:p w14:paraId="35A9C098" w14:textId="034FD4B3" w:rsidR="00C54FB6" w:rsidRDefault="00C54FB6" w:rsidP="007A13D2">
      <w:pPr>
        <w:jc w:val="both"/>
      </w:pPr>
      <w:r>
        <w:t xml:space="preserve">Trestní zákoník zná také pojem zmenšené příčetnosti. Je to stav, v kterém byla v důsledku duševní poruchy výrazněji zeslabena schopnost pachatele rozpoznat, že spáchaný čin je protiprávní, nebo schopnost ovládat své jednání. </w:t>
      </w:r>
      <w:proofErr w:type="gramStart"/>
      <w:r>
        <w:t xml:space="preserve">Byl- </w:t>
      </w:r>
      <w:proofErr w:type="spellStart"/>
      <w:r>
        <w:t>li</w:t>
      </w:r>
      <w:proofErr w:type="spellEnd"/>
      <w:proofErr w:type="gramEnd"/>
      <w:r w:rsidR="00585E83">
        <w:t xml:space="preserve"> </w:t>
      </w:r>
      <w:r>
        <w:t>trestný čin spáchán ve stavu zmenšené příčetnosti</w:t>
      </w:r>
      <w:r w:rsidR="00585E83">
        <w:t>, nevylučuje se trestní odpovědnost pachatele, avšak odůvodňuje se zvláštní postup vůči pachateli.</w:t>
      </w:r>
    </w:p>
    <w:p w14:paraId="26D19D24" w14:textId="059F2617" w:rsidR="00585E83" w:rsidRPr="007A13D2" w:rsidRDefault="007A13D2" w:rsidP="007A13D2">
      <w:pPr>
        <w:jc w:val="both"/>
        <w:rPr>
          <w:b/>
          <w:bCs/>
        </w:rPr>
      </w:pPr>
      <w:r>
        <w:t xml:space="preserve">České trestní právo neznalo odpovědnost za cizí vinu, ani odpovědnost právnických osob do </w:t>
      </w:r>
      <w:r w:rsidR="00585E83" w:rsidRPr="007A13D2">
        <w:rPr>
          <w:b/>
          <w:bCs/>
        </w:rPr>
        <w:t>Odpovědnost spáchaná pod vlivem alkoholu či jiné návykové látky</w:t>
      </w:r>
    </w:p>
    <w:p w14:paraId="242C324E" w14:textId="16C588F2" w:rsidR="00585E83" w:rsidRDefault="00585E83" w:rsidP="007A13D2">
      <w:pPr>
        <w:jc w:val="both"/>
      </w:pPr>
      <w:r>
        <w:t>je významnou příčinou trestné činnosti. Byl-li trestný čin spáchán pod vlivem návykové látky rozlišujeme:</w:t>
      </w:r>
    </w:p>
    <w:p w14:paraId="46997C7B" w14:textId="134DA128" w:rsidR="00585E83" w:rsidRDefault="00585E83" w:rsidP="007A13D2">
      <w:pPr>
        <w:jc w:val="both"/>
      </w:pPr>
      <w:r>
        <w:t xml:space="preserve"> -jaký byl duševní stav pachatele před použitím návykové látky</w:t>
      </w:r>
    </w:p>
    <w:p w14:paraId="3A64B252" w14:textId="77777777" w:rsidR="00585E83" w:rsidRDefault="00585E83" w:rsidP="007A13D2">
      <w:pPr>
        <w:jc w:val="both"/>
      </w:pPr>
      <w:r>
        <w:t xml:space="preserve">- jaký vliv měla aplikace návykové látky na příčetnost pachatele. </w:t>
      </w:r>
    </w:p>
    <w:p w14:paraId="20DE9CE2" w14:textId="120017C6" w:rsidR="00585E83" w:rsidRDefault="00585E83" w:rsidP="007A13D2">
      <w:pPr>
        <w:jc w:val="both"/>
      </w:pPr>
      <w:r>
        <w:t>Řešení otázek odpovědnosti pachatele trestního zákoníku za činy spáchané v nepříčetnosti vyvolané návykovými látkami, je praxi považováno za jeden z nejobtížnějších úkolů.</w:t>
      </w:r>
    </w:p>
    <w:p w14:paraId="289CBF34" w14:textId="205FF12E" w:rsidR="007A13D2" w:rsidRDefault="007A13D2" w:rsidP="007A13D2">
      <w:pPr>
        <w:jc w:val="both"/>
      </w:pPr>
    </w:p>
    <w:p w14:paraId="1BB42989" w14:textId="77777777" w:rsidR="007A13D2" w:rsidRDefault="007A13D2" w:rsidP="007A13D2">
      <w:pPr>
        <w:jc w:val="both"/>
      </w:pPr>
    </w:p>
    <w:p w14:paraId="57DCCDE7" w14:textId="77777777" w:rsidR="00C54FB6" w:rsidRDefault="00C54FB6" w:rsidP="007A13D2">
      <w:pPr>
        <w:jc w:val="both"/>
      </w:pPr>
    </w:p>
    <w:p w14:paraId="0E16A184" w14:textId="0FA2E150" w:rsidR="00F80825" w:rsidRPr="00F03315" w:rsidRDefault="007A13D2" w:rsidP="007A13D2">
      <w:pPr>
        <w:jc w:val="both"/>
        <w:rPr>
          <w:b/>
          <w:bCs/>
        </w:rPr>
      </w:pPr>
      <w:r w:rsidRPr="00F03315">
        <w:rPr>
          <w:b/>
          <w:bCs/>
        </w:rPr>
        <w:lastRenderedPageBreak/>
        <w:t>Věk pachatele</w:t>
      </w:r>
    </w:p>
    <w:p w14:paraId="76AA807E" w14:textId="430D3AF2" w:rsidR="007A13D2" w:rsidRDefault="007A13D2" w:rsidP="007A13D2">
      <w:pPr>
        <w:jc w:val="both"/>
      </w:pPr>
      <w:r>
        <w:t xml:space="preserve">Počátek trestní odpovědnosti z hlediska věku pachatele je v České republice dovršení 15 let věku. Pachatel, který v době spáchání trestného činu nedovršil 15 let věku, není trestněprávně odpovědný. Trestní odpovědnost začíná teprve dnem, který následuje po dni patnáctých narozenin. Osoby, které dovršily patnáct let a nepřekročily osmnáct let označuje zákon ve věcech soudnictví za </w:t>
      </w:r>
      <w:r w:rsidR="00242E99">
        <w:t>m</w:t>
      </w:r>
      <w:r>
        <w:t>l</w:t>
      </w:r>
      <w:r w:rsidR="00242E99">
        <w:t>a</w:t>
      </w:r>
      <w:r>
        <w:t xml:space="preserve">distvé. </w:t>
      </w:r>
    </w:p>
    <w:p w14:paraId="6D9B337F" w14:textId="13CD8399" w:rsidR="00242E99" w:rsidRDefault="00242E99" w:rsidP="007A13D2">
      <w:pPr>
        <w:jc w:val="both"/>
      </w:pPr>
      <w:r>
        <w:t>Znaky skutkové podstaty trestného činu charakterizující pachatele</w:t>
      </w:r>
    </w:p>
    <w:p w14:paraId="22F4471C" w14:textId="126C4339" w:rsidR="00242E99" w:rsidRDefault="00242E99" w:rsidP="00242E99">
      <w:pPr>
        <w:pStyle w:val="Odstavecseseznamem"/>
        <w:numPr>
          <w:ilvl w:val="0"/>
          <w:numId w:val="2"/>
        </w:numPr>
        <w:jc w:val="both"/>
      </w:pPr>
      <w:r>
        <w:t>Většinu trestných činů může spáchat kdokoli – hovoříme o obecných trestných činech</w:t>
      </w:r>
    </w:p>
    <w:p w14:paraId="5E5BACB5" w14:textId="015D1967" w:rsidR="00242E99" w:rsidRDefault="00242E99" w:rsidP="00242E99">
      <w:pPr>
        <w:pStyle w:val="Odstavecseseznamem"/>
        <w:numPr>
          <w:ilvl w:val="0"/>
          <w:numId w:val="2"/>
        </w:numPr>
        <w:jc w:val="both"/>
      </w:pPr>
      <w:r>
        <w:t>Některé trestné činy vyžadují zvláštní vlastnosti pachatele, nebo zvláštní postavení či způsobilost. Hovoříme o speciálním subjektu., tzv. konkrétním subjektu). Je to např. matka při vraždě novorozeněte apod.</w:t>
      </w:r>
    </w:p>
    <w:p w14:paraId="60D159BE" w14:textId="77777777" w:rsidR="00242E99" w:rsidRDefault="00242E99" w:rsidP="00242E99">
      <w:pPr>
        <w:pStyle w:val="Odstavecseseznamem"/>
        <w:numPr>
          <w:ilvl w:val="0"/>
          <w:numId w:val="2"/>
        </w:numPr>
        <w:jc w:val="both"/>
      </w:pPr>
      <w:r>
        <w:t>Do druhé skupiny (speciální subjekt) patří např. vojenské trestné činy, trestné činy úředních osob.</w:t>
      </w:r>
    </w:p>
    <w:p w14:paraId="1AD87E4C" w14:textId="77777777" w:rsidR="001971F5" w:rsidRDefault="00242E99" w:rsidP="00242E99">
      <w:pPr>
        <w:pStyle w:val="Odstavecseseznamem"/>
        <w:numPr>
          <w:ilvl w:val="0"/>
          <w:numId w:val="2"/>
        </w:numPr>
        <w:jc w:val="both"/>
      </w:pPr>
      <w:r>
        <w:t>Subjektem trestného činu může být kromě pachatele občana České republiky i cizí státní příslušník, nebo bez státní příslušnosti</w:t>
      </w:r>
      <w:r w:rsidR="001971F5">
        <w:t>.</w:t>
      </w:r>
    </w:p>
    <w:p w14:paraId="581D3327" w14:textId="77777777" w:rsidR="001971F5" w:rsidRPr="00F03315" w:rsidRDefault="001971F5" w:rsidP="001971F5">
      <w:pPr>
        <w:jc w:val="both"/>
        <w:rPr>
          <w:b/>
          <w:bCs/>
        </w:rPr>
      </w:pPr>
      <w:r w:rsidRPr="00F03315">
        <w:rPr>
          <w:b/>
          <w:bCs/>
        </w:rPr>
        <w:t>Subjektivní stránka trestného činu</w:t>
      </w:r>
    </w:p>
    <w:p w14:paraId="27F35250" w14:textId="77777777" w:rsidR="001971F5" w:rsidRDefault="001971F5" w:rsidP="001971F5">
      <w:pPr>
        <w:jc w:val="both"/>
      </w:pPr>
      <w:r>
        <w:t>Je významným znakem trestného činu a obsahuje soubor znaků, které charakterizují psychiku pachatele vzhledem k trestnému činu.</w:t>
      </w:r>
    </w:p>
    <w:p w14:paraId="42BA5FFF" w14:textId="74827C09" w:rsidR="001971F5" w:rsidRDefault="001971F5" w:rsidP="001971F5">
      <w:pPr>
        <w:jc w:val="both"/>
      </w:pPr>
      <w:r>
        <w:t>Jediným obligatorním znakem subjektivní stránky trestného činu je zavinění. Má formu úmyslu nebo nedbalosti. Zavinění je nezbytné pro naplnění kterékoli skutkové podstaty trestného činu není trestného činu bez zavinění.</w:t>
      </w:r>
    </w:p>
    <w:p w14:paraId="0D05D9D3" w14:textId="46EEF459" w:rsidR="001971F5" w:rsidRPr="00F03315" w:rsidRDefault="001971F5" w:rsidP="001971F5">
      <w:pPr>
        <w:jc w:val="both"/>
        <w:rPr>
          <w:b/>
          <w:bCs/>
        </w:rPr>
      </w:pPr>
      <w:r w:rsidRPr="00F03315">
        <w:rPr>
          <w:b/>
          <w:bCs/>
        </w:rPr>
        <w:t>Zaviněn</w:t>
      </w:r>
      <w:r w:rsidR="00F03315" w:rsidRPr="00F03315">
        <w:rPr>
          <w:b/>
          <w:bCs/>
        </w:rPr>
        <w:t>í</w:t>
      </w:r>
    </w:p>
    <w:p w14:paraId="0C45347F" w14:textId="68871B6F" w:rsidR="00242E99" w:rsidRDefault="001971F5" w:rsidP="001971F5">
      <w:pPr>
        <w:jc w:val="both"/>
      </w:pPr>
      <w:r>
        <w:t>je vnitřní psychický vztah člověka k určitým skutečnostem, jež zakládají trestný čin, ať již vytvořený pachatelem nebo objektivně existujícím bez jeho přičinění již v době činu. (Např. cizí věc při krádeži, střelná zbraň při nedovoleném ozbrojování, osoba mladší 15 let při pohlavním zneužívání apod.)</w:t>
      </w:r>
    </w:p>
    <w:p w14:paraId="537E1D12" w14:textId="1C8E0BA9" w:rsidR="004C5257" w:rsidRDefault="001971F5" w:rsidP="001971F5">
      <w:pPr>
        <w:jc w:val="both"/>
      </w:pPr>
      <w:r>
        <w:t>Složk</w:t>
      </w:r>
      <w:r w:rsidR="004C5257">
        <w:t>y</w:t>
      </w:r>
      <w:r>
        <w:t>, kter</w:t>
      </w:r>
      <w:r w:rsidR="004C5257">
        <w:t>é</w:t>
      </w:r>
      <w:r>
        <w:t xml:space="preserve"> tvoří pojem zavinění podle § 15 a § 16 j</w:t>
      </w:r>
      <w:r w:rsidR="004C5257">
        <w:t>sou:</w:t>
      </w:r>
    </w:p>
    <w:p w14:paraId="106202BA" w14:textId="1580916B" w:rsidR="004C5257" w:rsidRDefault="004C5257" w:rsidP="004C5257">
      <w:pPr>
        <w:pStyle w:val="Odstavecseseznamem"/>
        <w:numPr>
          <w:ilvl w:val="0"/>
          <w:numId w:val="2"/>
        </w:numPr>
        <w:jc w:val="both"/>
      </w:pPr>
      <w:r>
        <w:t>Složka vědění (intelektuální nebo též představová složka zavinění</w:t>
      </w:r>
    </w:p>
    <w:p w14:paraId="78112AA8" w14:textId="6B556409" w:rsidR="004C5257" w:rsidRDefault="004C5257" w:rsidP="004C5257">
      <w:pPr>
        <w:pStyle w:val="Odstavecseseznamem"/>
        <w:numPr>
          <w:ilvl w:val="0"/>
          <w:numId w:val="2"/>
        </w:numPr>
        <w:jc w:val="both"/>
      </w:pPr>
      <w:r>
        <w:t>Složka volní (vyjadřující různý stupeň zaměření pachatele k porušení nebo ohrožení chráněného statku)</w:t>
      </w:r>
    </w:p>
    <w:p w14:paraId="45EBABAC" w14:textId="37EE451E" w:rsidR="004C5257" w:rsidRDefault="004C5257" w:rsidP="004C5257">
      <w:pPr>
        <w:ind w:left="45"/>
        <w:jc w:val="both"/>
      </w:pPr>
      <w:r>
        <w:t>Vědomí zahrnuje vnímání, tj. odraz předmětů a jevů pomocí našich smyslových orgánů a představu předmětů a jevů, které sice pachatel v daný okamžik vnímat, které však vnímal dříve nebo k nim došel úsudkem na základě znalostí a zkušeností. Podmínkou je, že si vše toto pachatel uvědomoval v době spáchání trestného činu a pokud tomu tak nebylo, že si to uvědomit měl a mohl.</w:t>
      </w:r>
    </w:p>
    <w:p w14:paraId="4ADE5E46" w14:textId="2C55541D" w:rsidR="004C5257" w:rsidRDefault="004C5257" w:rsidP="004C5257">
      <w:pPr>
        <w:ind w:left="45"/>
        <w:jc w:val="both"/>
      </w:pPr>
      <w:r w:rsidRPr="00F03315">
        <w:rPr>
          <w:b/>
          <w:bCs/>
        </w:rPr>
        <w:t>Rozlišujeme dvě formy zavinění</w:t>
      </w:r>
      <w:r>
        <w:t>:</w:t>
      </w:r>
    </w:p>
    <w:p w14:paraId="608896AE" w14:textId="36756C61" w:rsidR="004C5257" w:rsidRDefault="004C5257" w:rsidP="004C5257">
      <w:pPr>
        <w:pStyle w:val="Odstavecseseznamem"/>
        <w:numPr>
          <w:ilvl w:val="0"/>
          <w:numId w:val="2"/>
        </w:numPr>
        <w:jc w:val="both"/>
      </w:pPr>
      <w:r>
        <w:t>Úmysl</w:t>
      </w:r>
    </w:p>
    <w:p w14:paraId="4ACA8755" w14:textId="62985071" w:rsidR="004C5257" w:rsidRDefault="004C5257" w:rsidP="004C5257">
      <w:pPr>
        <w:pStyle w:val="Odstavecseseznamem"/>
        <w:numPr>
          <w:ilvl w:val="0"/>
          <w:numId w:val="2"/>
        </w:numPr>
        <w:jc w:val="both"/>
      </w:pPr>
      <w:r>
        <w:t>Nedbalost</w:t>
      </w:r>
    </w:p>
    <w:p w14:paraId="0852FAFD" w14:textId="4CDD4A33" w:rsidR="004C5257" w:rsidRDefault="004C5257" w:rsidP="004C5257">
      <w:pPr>
        <w:pStyle w:val="Odstavecseseznamem"/>
        <w:numPr>
          <w:ilvl w:val="0"/>
          <w:numId w:val="2"/>
        </w:numPr>
        <w:jc w:val="both"/>
      </w:pPr>
      <w:r>
        <w:t>Při každém trestném činu musí být dána jedna z uvedených forem zavinění.</w:t>
      </w:r>
    </w:p>
    <w:p w14:paraId="6D4CFAEC" w14:textId="4EA7694E" w:rsidR="00F03315" w:rsidRDefault="00F03315" w:rsidP="004C5257">
      <w:pPr>
        <w:pStyle w:val="Odstavecseseznamem"/>
        <w:numPr>
          <w:ilvl w:val="0"/>
          <w:numId w:val="2"/>
        </w:numPr>
        <w:jc w:val="both"/>
      </w:pPr>
      <w:r>
        <w:t>Složka volní i vědění nemusí odpovídat přesně objektivní realitě. Představa pachatele se nemusí krýt s výsledky jeho jednání.</w:t>
      </w:r>
    </w:p>
    <w:p w14:paraId="14776CF0" w14:textId="77777777" w:rsidR="003B6FB4" w:rsidRDefault="003B6FB4" w:rsidP="007A13D2">
      <w:pPr>
        <w:jc w:val="both"/>
      </w:pPr>
    </w:p>
    <w:sectPr w:rsidR="003B6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35FBD"/>
    <w:multiLevelType w:val="hybridMultilevel"/>
    <w:tmpl w:val="4FFE30B2"/>
    <w:lvl w:ilvl="0" w:tplc="8F1817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CB3858"/>
    <w:multiLevelType w:val="hybridMultilevel"/>
    <w:tmpl w:val="B92433F0"/>
    <w:lvl w:ilvl="0" w:tplc="38C665B8">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15:restartNumberingAfterBreak="0">
    <w:nsid w:val="75410068"/>
    <w:multiLevelType w:val="hybridMultilevel"/>
    <w:tmpl w:val="B29824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F"/>
    <w:rsid w:val="001971F5"/>
    <w:rsid w:val="00242E99"/>
    <w:rsid w:val="0024782A"/>
    <w:rsid w:val="003B6FB4"/>
    <w:rsid w:val="00403F75"/>
    <w:rsid w:val="004C5257"/>
    <w:rsid w:val="00585E83"/>
    <w:rsid w:val="007A13D2"/>
    <w:rsid w:val="0080026F"/>
    <w:rsid w:val="00C54FB6"/>
    <w:rsid w:val="00CD350B"/>
    <w:rsid w:val="00F03315"/>
    <w:rsid w:val="00F80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E9B0"/>
  <w15:chartTrackingRefBased/>
  <w15:docId w15:val="{7922EA33-AE99-4A58-9BCA-79E74960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1116</Words>
  <Characters>6586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irc05</dc:creator>
  <cp:keywords/>
  <dc:description/>
  <cp:lastModifiedBy>irc05</cp:lastModifiedBy>
  <cp:revision>1</cp:revision>
  <cp:lastPrinted>2023-05-12T16:40:00Z</cp:lastPrinted>
  <dcterms:created xsi:type="dcterms:W3CDTF">2023-05-12T14:32:00Z</dcterms:created>
  <dcterms:modified xsi:type="dcterms:W3CDTF">2023-05-12T16:42:00Z</dcterms:modified>
</cp:coreProperties>
</file>